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黑体" w:hAnsi="黑体" w:eastAsia="黑体"/>
          <w:sz w:val="32"/>
          <w:szCs w:val="32"/>
        </w:rPr>
      </w:pPr>
      <w:r>
        <w:rPr>
          <w:rFonts w:hint="eastAsia" w:ascii="黑体" w:hAnsi="黑体" w:eastAsia="黑体"/>
          <w:sz w:val="32"/>
          <w:szCs w:val="32"/>
        </w:rPr>
        <w:t>附件1</w:t>
      </w:r>
    </w:p>
    <w:p>
      <w:pPr>
        <w:adjustRightInd w:val="0"/>
        <w:snapToGrid w:val="0"/>
        <w:spacing w:line="560" w:lineRule="exact"/>
        <w:rPr>
          <w:rFonts w:ascii="黑体" w:hAnsi="黑体" w:eastAsia="黑体"/>
          <w:sz w:val="28"/>
          <w:szCs w:val="28"/>
        </w:rPr>
      </w:pPr>
    </w:p>
    <w:p>
      <w:pPr>
        <w:adjustRightInd w:val="0"/>
        <w:snapToGrid w:val="0"/>
        <w:spacing w:line="560" w:lineRule="exact"/>
        <w:jc w:val="center"/>
        <w:rPr>
          <w:rFonts w:hint="eastAsia" w:ascii="方正小标宋简体" w:hAnsi="黑体" w:eastAsia="方正小标宋简体" w:cs="宋体"/>
          <w:sz w:val="44"/>
          <w:szCs w:val="44"/>
          <w:lang w:eastAsia="zh-CN"/>
        </w:rPr>
      </w:pPr>
      <w:r>
        <w:rPr>
          <w:rFonts w:hint="eastAsia" w:ascii="方正小标宋简体" w:hAnsi="黑体" w:eastAsia="方正小标宋简体" w:cs="宋体"/>
          <w:sz w:val="44"/>
          <w:szCs w:val="44"/>
        </w:rPr>
        <w:t>2021年厦门工学院教育教学改革研究项目申报指南</w:t>
      </w:r>
    </w:p>
    <w:p>
      <w:pPr>
        <w:adjustRightInd w:val="0"/>
        <w:snapToGrid w:val="0"/>
        <w:spacing w:line="560" w:lineRule="exact"/>
        <w:jc w:val="left"/>
        <w:rPr>
          <w:rFonts w:ascii="黑体" w:hAnsi="黑体" w:eastAsia="黑体" w:cs="宋体"/>
          <w:bCs/>
          <w:sz w:val="32"/>
          <w:szCs w:val="32"/>
        </w:rPr>
      </w:pPr>
    </w:p>
    <w:p>
      <w:pPr>
        <w:pStyle w:val="2"/>
        <w:adjustRightInd w:val="0"/>
        <w:snapToGrid w:val="0"/>
        <w:spacing w:line="560" w:lineRule="exact"/>
        <w:ind w:right="-86" w:rightChars="-2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本指南所列条目是立项方向，不是项目名称，申报人可结合新时代高等教育发展新形势和学校实际情况，确定项目名称。</w:t>
      </w:r>
    </w:p>
    <w:p>
      <w:pPr>
        <w:pStyle w:val="2"/>
        <w:adjustRightInd w:val="0"/>
        <w:snapToGrid w:val="0"/>
        <w:spacing w:line="560" w:lineRule="exact"/>
        <w:ind w:right="-86" w:rightChars="-27" w:firstLine="640" w:firstLineChars="200"/>
        <w:rPr>
          <w:rFonts w:hint="eastAsia" w:ascii="黑体" w:hAnsi="黑体" w:eastAsia="黑体" w:cs="仿宋_GB2312"/>
          <w:sz w:val="32"/>
          <w:szCs w:val="32"/>
          <w:lang w:eastAsia="zh-CN"/>
        </w:rPr>
      </w:pPr>
      <w:r>
        <w:rPr>
          <w:rFonts w:hint="eastAsia" w:ascii="黑体" w:hAnsi="黑体" w:eastAsia="黑体" w:cs="仿宋_GB2312"/>
          <w:sz w:val="32"/>
          <w:szCs w:val="32"/>
        </w:rPr>
        <w:t>一、</w:t>
      </w:r>
      <w:r>
        <w:rPr>
          <w:rFonts w:hint="eastAsia" w:ascii="黑体" w:hAnsi="黑体" w:eastAsia="黑体" w:cs="仿宋_GB2312"/>
          <w:sz w:val="32"/>
          <w:szCs w:val="32"/>
          <w:lang w:eastAsia="zh-CN"/>
        </w:rPr>
        <w:t>专业建设的研究、改革与实践项目</w:t>
      </w:r>
    </w:p>
    <w:p>
      <w:pPr>
        <w:pStyle w:val="2"/>
        <w:adjustRightInd w:val="0"/>
        <w:snapToGrid w:val="0"/>
        <w:spacing w:line="560" w:lineRule="exact"/>
        <w:ind w:right="-86" w:rightChars="-2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以</w:t>
      </w:r>
      <w:r>
        <w:rPr>
          <w:rFonts w:hint="eastAsia" w:ascii="仿宋_GB2312" w:hAnsi="仿宋_GB2312" w:eastAsia="仿宋_GB2312" w:cs="仿宋_GB2312"/>
          <w:sz w:val="32"/>
          <w:szCs w:val="32"/>
          <w:lang w:eastAsia="zh-CN"/>
        </w:rPr>
        <w:t>专业认证为目标</w:t>
      </w:r>
      <w:r>
        <w:rPr>
          <w:rFonts w:hint="eastAsia" w:ascii="仿宋_GB2312" w:hAnsi="仿宋_GB2312" w:eastAsia="仿宋_GB2312" w:cs="仿宋_GB2312"/>
          <w:sz w:val="32"/>
          <w:szCs w:val="32"/>
        </w:rPr>
        <w:t>，分析研判</w:t>
      </w:r>
      <w:r>
        <w:rPr>
          <w:rFonts w:hint="eastAsia" w:ascii="仿宋_GB2312" w:hAnsi="仿宋_GB2312" w:eastAsia="仿宋_GB2312" w:cs="仿宋_GB2312"/>
          <w:sz w:val="32"/>
          <w:szCs w:val="32"/>
          <w:lang w:eastAsia="zh-CN"/>
        </w:rPr>
        <w:t>相关行业</w:t>
      </w:r>
      <w:r>
        <w:rPr>
          <w:rFonts w:hint="eastAsia" w:ascii="仿宋_GB2312" w:hAnsi="仿宋_GB2312" w:eastAsia="仿宋_GB2312" w:cs="仿宋_GB2312"/>
          <w:sz w:val="32"/>
          <w:szCs w:val="32"/>
        </w:rPr>
        <w:t>人才的质量标准，包括培养目标、毕业要求、课程体系、教学模式和方法、学习成果评价机制、师资队伍、支撑条件等，推进学校一流专业建设。</w:t>
      </w:r>
    </w:p>
    <w:p>
      <w:pPr>
        <w:pStyle w:val="2"/>
        <w:adjustRightInd w:val="0"/>
        <w:snapToGrid w:val="0"/>
        <w:spacing w:line="560" w:lineRule="exact"/>
        <w:ind w:right="-86" w:rightChars="-27"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sz w:val="32"/>
          <w:szCs w:val="32"/>
        </w:rPr>
        <w:t>构建符合专业认证制度体系的人才培养方案和教育教学质量管理制度体系，形成研究报告、政策建议等。</w:t>
      </w:r>
    </w:p>
    <w:p>
      <w:pPr>
        <w:pStyle w:val="2"/>
        <w:adjustRightInd w:val="0"/>
        <w:snapToGrid w:val="0"/>
        <w:spacing w:line="560" w:lineRule="exact"/>
        <w:ind w:right="-86" w:rightChars="-2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研究社会经济发展规律和产业发展特征，打破学科固有边界，探索跨学科跨专业交叉融合的人才培养机制，形成产业导向的应用型人才培养方案。</w:t>
      </w:r>
    </w:p>
    <w:p>
      <w:pPr>
        <w:pStyle w:val="2"/>
        <w:adjustRightInd w:val="0"/>
        <w:snapToGrid w:val="0"/>
        <w:spacing w:line="560" w:lineRule="exact"/>
        <w:ind w:right="-86" w:rightChars="-27"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sz w:val="32"/>
          <w:szCs w:val="32"/>
        </w:rPr>
        <w:t>形成有关产业导向的应用型人才培养研究报告、案例、高质量论文。</w:t>
      </w:r>
    </w:p>
    <w:p>
      <w:pPr>
        <w:pStyle w:val="2"/>
        <w:adjustRightInd w:val="0"/>
        <w:snapToGrid w:val="0"/>
        <w:spacing w:line="560" w:lineRule="exact"/>
        <w:ind w:right="-86" w:rightChars="-2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落实立德树人根本任务，用习近平新时代中国特色社会主义思想铸魂育人，探索实践专业教育课教育与思想政治教育深度融合的模式与路径。</w:t>
      </w:r>
    </w:p>
    <w:p>
      <w:pPr>
        <w:pStyle w:val="2"/>
        <w:adjustRightInd w:val="0"/>
        <w:snapToGrid w:val="0"/>
        <w:spacing w:line="560" w:lineRule="exact"/>
        <w:ind w:right="-86" w:rightChars="-2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预期成果：形成专业思政育人、课程思政育人的案例。</w:t>
      </w:r>
    </w:p>
    <w:p>
      <w:pPr>
        <w:pStyle w:val="2"/>
        <w:adjustRightInd w:val="0"/>
        <w:snapToGrid w:val="0"/>
        <w:spacing w:line="560" w:lineRule="exact"/>
        <w:ind w:right="-86" w:rightChars="-27" w:firstLine="640" w:firstLineChars="200"/>
        <w:rPr>
          <w:rFonts w:hint="eastAsia" w:ascii="仿宋_GB2312" w:hAnsi="仿宋_GB2312" w:eastAsia="仿宋_GB2312"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w:t>
      </w:r>
      <w:r>
        <w:rPr>
          <w:rFonts w:hint="eastAsia" w:ascii="黑体" w:hAnsi="黑体" w:eastAsia="黑体" w:cs="仿宋_GB2312"/>
          <w:sz w:val="32"/>
          <w:szCs w:val="32"/>
          <w:lang w:eastAsia="zh-CN"/>
        </w:rPr>
        <w:t>课程建设的研究、改革与实践项目</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.围绕以学生中心、产出导向、持续改进的人才培养理念，</w:t>
      </w:r>
      <w:r>
        <w:rPr>
          <w:rFonts w:hint="eastAsia" w:ascii="仿宋_GB2312" w:hAnsi="仿宋_GB2312" w:eastAsia="仿宋_GB2312" w:cs="仿宋_GB2312"/>
          <w:b w:val="0"/>
          <w:bCs w:val="0"/>
          <w:sz w:val="32"/>
          <w:szCs w:val="32"/>
          <w:lang w:eastAsia="zh-CN"/>
        </w:rPr>
        <w:t>结合我校学生特点，</w:t>
      </w:r>
      <w:r>
        <w:rPr>
          <w:rFonts w:hint="eastAsia" w:ascii="仿宋_GB2312" w:hAnsi="仿宋_GB2312" w:eastAsia="仿宋_GB2312" w:cs="仿宋_GB2312"/>
          <w:b w:val="0"/>
          <w:bCs w:val="0"/>
          <w:sz w:val="32"/>
          <w:szCs w:val="32"/>
        </w:rPr>
        <w:t>对提升课程的高阶性、突出课程的创新性和增强课程的挑战度的实现路径进行研究和实践。</w:t>
      </w:r>
      <w:bookmarkStart w:id="0" w:name="_GoBack"/>
      <w:bookmarkEnd w:id="0"/>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形成课程改革与一流课程建设的研究报告、案例、高质量论文等。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立足区域经济社会发展需求和应用型人才培养目标，不断深化产教融合协同育人，开展符合应用型人才培养需要的课程建设研究与实践，以及校企协作的课程建设。</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形成符合应用型人才培养需要的课程建设方案、校企协作建设课程方案、教材等。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以专业人才培养目标为导向，聚焦学校学科专业优势特色，优化重组教学内容与课程体系，建设具有学校鲜明特色的教学内容与课程体系，提升专业的竞争优势。</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形成具有鲜明特色的课程建设方案、教材等。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探索虚拟仿真技术在实践教学、实验教学的深度应用，推动优质实践、实验教学资源的建设和开放共享。</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形成虚拟仿真实践与虚拟仿真实验教学资源建设案例。</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rPr>
        <w:t>信息技术条件下教师教学方式方法的创新与实践。以学生为中心，以目标为导向，积极推进信息技术与教育教学深度融合，探索智慧环境下教师课堂教学模式与实践教学模式的有效运用，创新线上线下、课内外师生互动机制，促进学生创新性思维、批判性思维能力的培养，改善教师满堂灌、学生被动听的教学现象。</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形成智慧环境下课堂教学方式方法、学习方式方法、考核方式方法、教学制度改革创新的研究报告、高质量论文。</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9.</w:t>
      </w:r>
      <w:r>
        <w:rPr>
          <w:rFonts w:hint="eastAsia" w:ascii="仿宋_GB2312" w:hAnsi="仿宋_GB2312" w:eastAsia="仿宋_GB2312" w:cs="仿宋_GB2312"/>
          <w:b w:val="0"/>
          <w:bCs w:val="0"/>
          <w:sz w:val="32"/>
          <w:szCs w:val="32"/>
        </w:rPr>
        <w:t>以教师为主导、以学生为中心，以目标为导向，积极探索以激发学习动力和专业志趣为着力点的过程性评价机制与制度，加强对学生课内外、线上线下学习的评价，强化阅读量和阅读能力考查，提升课程学习的广度。加强研究型、项目式学习，丰富探究式、论文式、报告答辩式等学业评价方式，提升课程学习的深度。加强非标准化、综合性等评价，提升课程学习的挑战性。</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形成有利于提高课程学习的广度、深度和挑战度的过程性评价机制与制度的研究报告、案例、高质量论文等。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10.</w:t>
      </w:r>
      <w:r>
        <w:rPr>
          <w:rFonts w:hint="eastAsia" w:ascii="仿宋_GB2312" w:hAnsi="仿宋_GB2312" w:eastAsia="仿宋_GB2312" w:cs="仿宋_GB2312"/>
          <w:b w:val="0"/>
          <w:bCs w:val="0"/>
          <w:sz w:val="32"/>
          <w:szCs w:val="32"/>
        </w:rPr>
        <w:t>融合互联网新技术，结合课程教学方式方法改革，对教学内容的载体和表现形式进行研究探索和丰富，创新教材形态。包括通过移动互联网技术，以嵌入二维码的纸质教材为载体，嵌入视频、音频、作业、试卷、拓展资源、主题研讨等数字资源，将教材、课堂、教学资源三者融合，实现线上线下结合的新形态教材等。</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预期目标：</w:t>
      </w:r>
      <w:r>
        <w:rPr>
          <w:rFonts w:hint="eastAsia" w:ascii="仿宋_GB2312" w:hAnsi="仿宋_GB2312" w:eastAsia="仿宋_GB2312" w:cs="仿宋_GB2312"/>
          <w:b w:val="0"/>
          <w:bCs w:val="0"/>
          <w:sz w:val="32"/>
          <w:szCs w:val="32"/>
        </w:rPr>
        <w:t>新形态教材建设研究报告、课程新形态教材案例等。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11.</w:t>
      </w:r>
      <w:r>
        <w:rPr>
          <w:rFonts w:hint="eastAsia" w:ascii="仿宋_GB2312" w:hAnsi="仿宋_GB2312" w:eastAsia="仿宋_GB2312" w:cs="仿宋_GB2312"/>
          <w:b w:val="0"/>
          <w:bCs w:val="0"/>
          <w:sz w:val="32"/>
          <w:szCs w:val="32"/>
        </w:rPr>
        <w:t>将新形态教材建设与在线开放课程、线上线下混合式课程、虚拟仿真课程深度融合，探索和发挥新形态教材在课程教学改革和创新方面的作用，提高课堂教学效果和课程教学质量。</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预期目标：形成研究报告、课程建设案例、高质量论文等。</w:t>
      </w:r>
    </w:p>
    <w:p>
      <w:pPr>
        <w:pStyle w:val="2"/>
        <w:adjustRightInd w:val="0"/>
        <w:snapToGrid w:val="0"/>
        <w:spacing w:line="560" w:lineRule="exact"/>
        <w:ind w:right="-86" w:rightChars="-27" w:firstLine="640" w:firstLineChars="200"/>
        <w:rPr>
          <w:rFonts w:hint="eastAsia" w:ascii="黑体" w:hAnsi="黑体" w:eastAsia="黑体" w:cs="仿宋_GB2312"/>
          <w:sz w:val="32"/>
          <w:szCs w:val="32"/>
          <w:lang w:eastAsia="zh-CN"/>
        </w:rPr>
      </w:pPr>
      <w:r>
        <w:rPr>
          <w:rFonts w:hint="eastAsia" w:ascii="黑体" w:hAnsi="黑体" w:eastAsia="黑体" w:cs="仿宋_GB2312"/>
          <w:sz w:val="32"/>
          <w:szCs w:val="32"/>
          <w:lang w:eastAsia="zh-CN"/>
        </w:rPr>
        <w:t>三</w:t>
      </w:r>
      <w:r>
        <w:rPr>
          <w:rFonts w:hint="eastAsia" w:ascii="黑体" w:hAnsi="黑体" w:eastAsia="黑体" w:cs="仿宋_GB2312"/>
          <w:sz w:val="32"/>
          <w:szCs w:val="32"/>
        </w:rPr>
        <w:t>、</w:t>
      </w:r>
      <w:r>
        <w:rPr>
          <w:rFonts w:hint="eastAsia" w:ascii="黑体" w:hAnsi="黑体" w:eastAsia="黑体" w:cs="仿宋_GB2312"/>
          <w:sz w:val="32"/>
          <w:szCs w:val="32"/>
          <w:lang w:eastAsia="zh-CN"/>
        </w:rPr>
        <w:t>新工科、新文科等“四新”建设的研究、改革与实践项目</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12.</w:t>
      </w:r>
      <w:r>
        <w:rPr>
          <w:rFonts w:hint="eastAsia" w:ascii="仿宋_GB2312" w:hAnsi="仿宋_GB2312" w:eastAsia="仿宋_GB2312" w:cs="仿宋_GB2312"/>
          <w:b w:val="0"/>
          <w:bCs w:val="0"/>
          <w:sz w:val="32"/>
          <w:szCs w:val="32"/>
        </w:rPr>
        <w:t>以岗位胜任力为导向，探讨新工科、新文科人才培养所必须具备的知识能力素质，提出新工科、新文科各专业类人才培养的核心能力框架，为各专业人才培养方案制定提供依据。</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形成新工科、新文科相关专业人才培养核心能力体系的研究报告、培养方案案例、高质量论文等。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13.</w:t>
      </w:r>
      <w:r>
        <w:rPr>
          <w:rFonts w:hint="eastAsia" w:ascii="仿宋_GB2312" w:hAnsi="仿宋_GB2312" w:eastAsia="仿宋_GB2312" w:cs="仿宋_GB2312"/>
          <w:b w:val="0"/>
          <w:bCs w:val="0"/>
          <w:sz w:val="32"/>
          <w:szCs w:val="32"/>
        </w:rPr>
        <w:t>新工科、新文科专业人才培养质量评价体系的研究。</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构建新工科、新文科专业人才培养质量评价体系方案，提出对策建议，发表高质量论文等。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14.</w:t>
      </w:r>
      <w:r>
        <w:rPr>
          <w:rFonts w:hint="eastAsia" w:ascii="仿宋_GB2312" w:hAnsi="仿宋_GB2312" w:eastAsia="仿宋_GB2312" w:cs="仿宋_GB2312"/>
          <w:b w:val="0"/>
          <w:bCs w:val="0"/>
          <w:sz w:val="32"/>
          <w:szCs w:val="32"/>
        </w:rPr>
        <w:t>聚焦新工科、新文科建设，体现多学科思维融合、产业技术与学科理论融合、跨专业能力融合、多学科项目实践融合，开展具有高阶性、创新性、挑战度的课程建设。</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形成具有高阶性、创新性、挑战度的课程建设方案、教学内容体系、教材等。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15.</w:t>
      </w:r>
      <w:r>
        <w:rPr>
          <w:rFonts w:hint="eastAsia" w:ascii="仿宋_GB2312" w:hAnsi="仿宋_GB2312" w:eastAsia="仿宋_GB2312" w:cs="仿宋_GB2312"/>
          <w:b w:val="0"/>
          <w:bCs w:val="0"/>
          <w:sz w:val="32"/>
          <w:szCs w:val="32"/>
        </w:rPr>
        <w:t>依据新工科、新文科人才培养理念与要求，系统梳理专业知识逻辑体系，科学设计通专融合的课程体系和知识结构体系。</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形成通专融合的课程体系和知识体系建设方案、通识课程教材和专业课程教材、高质量论文等。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16.</w:t>
      </w:r>
      <w:r>
        <w:rPr>
          <w:rFonts w:hint="eastAsia" w:ascii="仿宋_GB2312" w:hAnsi="仿宋_GB2312" w:eastAsia="仿宋_GB2312" w:cs="仿宋_GB2312"/>
          <w:b w:val="0"/>
          <w:bCs w:val="0"/>
          <w:sz w:val="32"/>
          <w:szCs w:val="32"/>
        </w:rPr>
        <w:t>以新工科、新文科学生综合实践能力培养为目标，有效构建功能集约、开放充分、协同联动的校内外实践教育教学平台。</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预期成果：</w:t>
      </w:r>
      <w:r>
        <w:rPr>
          <w:rFonts w:hint="eastAsia" w:ascii="仿宋_GB2312" w:hAnsi="仿宋_GB2312" w:eastAsia="仿宋_GB2312" w:cs="仿宋_GB2312"/>
          <w:b w:val="0"/>
          <w:bCs w:val="0"/>
          <w:sz w:val="32"/>
          <w:szCs w:val="32"/>
        </w:rPr>
        <w:t>建设专业实践教学示范基地，形成强化学生综合实践能力培养的研究报告、案件、高质量论文等。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17.</w:t>
      </w:r>
      <w:r>
        <w:rPr>
          <w:rFonts w:hint="eastAsia" w:ascii="仿宋_GB2312" w:hAnsi="仿宋_GB2312" w:eastAsia="仿宋_GB2312" w:cs="仿宋_GB2312"/>
          <w:b w:val="0"/>
          <w:bCs w:val="0"/>
          <w:sz w:val="32"/>
          <w:szCs w:val="32"/>
        </w:rPr>
        <w:t>依据学校新工科、新文科人才培养目标定位和创新创业教育目标要求，着力推进创新创业教育与通识教育、专业教育的深度融合，构建多样化、特色化创新创业课程优秀教学资源和产教融合创新创业教育实践基地，促进学生创新创业能力和综合素质提升。</w:t>
      </w:r>
    </w:p>
    <w:p>
      <w:pPr>
        <w:pStyle w:val="2"/>
        <w:adjustRightInd w:val="0"/>
        <w:snapToGrid w:val="0"/>
        <w:spacing w:line="560" w:lineRule="exact"/>
        <w:ind w:right="-86" w:rightChars="-27"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预期目标：</w:t>
      </w:r>
      <w:r>
        <w:rPr>
          <w:rFonts w:hint="eastAsia" w:ascii="仿宋_GB2312" w:hAnsi="仿宋_GB2312" w:eastAsia="仿宋_GB2312" w:cs="仿宋_GB2312"/>
          <w:b w:val="0"/>
          <w:bCs w:val="0"/>
          <w:sz w:val="32"/>
          <w:szCs w:val="32"/>
        </w:rPr>
        <w:t>形成多样化、特色化创新创业教育课程内容研究报告、案件、创新创业实践基地、高质量论文等。</w:t>
      </w: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p>
    <w:p>
      <w:pPr>
        <w:pStyle w:val="2"/>
        <w:adjustRightInd w:val="0"/>
        <w:snapToGrid w:val="0"/>
        <w:spacing w:line="560" w:lineRule="exact"/>
        <w:ind w:right="-86" w:rightChars="-27" w:firstLine="640" w:firstLineChars="200"/>
        <w:rPr>
          <w:rFonts w:hint="eastAsia" w:ascii="仿宋_GB2312" w:hAnsi="仿宋_GB2312" w:eastAsia="仿宋_GB2312" w:cs="仿宋_GB2312"/>
          <w:b w:val="0"/>
          <w:bCs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60055"/>
    <w:rsid w:val="0BA60055"/>
    <w:rsid w:val="333F3966"/>
    <w:rsid w:val="4BF607F7"/>
    <w:rsid w:val="6CD03CC7"/>
    <w:rsid w:val="6F8A55EA"/>
    <w:rsid w:val="72F15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spacing w:line="500" w:lineRule="exact"/>
      <w:jc w:val="left"/>
    </w:pPr>
    <w:rPr>
      <w:rFonts w:ascii="等线" w:hAnsi="等线" w:eastAsia="等线"/>
      <w:sz w:val="28"/>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_Style 3"/>
    <w:basedOn w:val="1"/>
    <w:qFormat/>
    <w:uiPriority w:val="99"/>
    <w:pPr>
      <w:spacing w:line="500" w:lineRule="exact"/>
      <w:ind w:firstLine="420" w:firstLineChars="200"/>
    </w:pPr>
    <w:rPr>
      <w:rFonts w:ascii="Calibri" w:hAnsi="Calibri" w:eastAsia="宋体" w:cs="Times New Roman"/>
      <w:sz w:val="2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238</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2021-03-25T03:16:00Z</dcterms:created>
  <dc:creator>樱雨</dc:creator>
  <cp:lastModifiedBy>樱雨</cp:lastModifiedBy>
  <cp:lastPrinted>2021-04-22T08:00:00Z</cp:lastPrinted>
  <dcterms:modified xsi:type="dcterms:W3CDTF">2021-04-28T01:29:16Z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